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78476" w14:textId="77777777" w:rsidR="001F677D" w:rsidRDefault="001F677D" w:rsidP="001F6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677D">
        <w:rPr>
          <w:rFonts w:ascii="Times New Roman" w:hAnsi="Times New Roman" w:cs="Times New Roman"/>
          <w:sz w:val="28"/>
          <w:szCs w:val="28"/>
        </w:rPr>
        <w:t>орядок формирования цены (тарифа) за предоставление доступа к инфраструктуре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F677D">
        <w:rPr>
          <w:rFonts w:ascii="Times New Roman" w:hAnsi="Times New Roman" w:cs="Times New Roman"/>
          <w:sz w:val="28"/>
          <w:szCs w:val="28"/>
        </w:rPr>
        <w:t>сопряженным объектам инфраструктуры)</w:t>
      </w:r>
    </w:p>
    <w:p w14:paraId="664D897B" w14:textId="237C0FD1" w:rsidR="00112149" w:rsidRDefault="001F677D" w:rsidP="001F6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«Электросеть-Волга»</w:t>
      </w:r>
    </w:p>
    <w:p w14:paraId="1E6AB313" w14:textId="7E649D7D" w:rsidR="001F677D" w:rsidRDefault="001F677D">
      <w:pPr>
        <w:rPr>
          <w:rFonts w:ascii="Times New Roman" w:hAnsi="Times New Roman" w:cs="Times New Roman"/>
          <w:sz w:val="28"/>
          <w:szCs w:val="28"/>
        </w:rPr>
      </w:pPr>
    </w:p>
    <w:p w14:paraId="2AA33F33" w14:textId="6A76E754" w:rsidR="001F677D" w:rsidRPr="001F677D" w:rsidRDefault="001F677D" w:rsidP="001F677D">
      <w:pPr>
        <w:ind w:left="10" w:right="36" w:firstLine="733"/>
        <w:jc w:val="both"/>
        <w:rPr>
          <w:rFonts w:ascii="Times New Roman" w:hAnsi="Times New Roman" w:cs="Times New Roman"/>
          <w:sz w:val="26"/>
          <w:szCs w:val="26"/>
        </w:rPr>
      </w:pPr>
      <w:r w:rsidRPr="001F677D">
        <w:rPr>
          <w:rFonts w:ascii="Times New Roman" w:hAnsi="Times New Roman" w:cs="Times New Roman"/>
          <w:sz w:val="26"/>
          <w:szCs w:val="26"/>
        </w:rPr>
        <w:t>1. Настоящи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F67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1F677D">
        <w:rPr>
          <w:rFonts w:ascii="Times New Roman" w:hAnsi="Times New Roman" w:cs="Times New Roman"/>
          <w:sz w:val="26"/>
          <w:szCs w:val="26"/>
        </w:rPr>
        <w:t xml:space="preserve"> формирования цен (тарифов) на предоставление доступа сторонним лицам к сопряженным объектам инфраструктуры (опорам воздушных линий </w:t>
      </w: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34E249" wp14:editId="2FD9DD77">
            <wp:extent cx="3232" cy="3232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77D">
        <w:rPr>
          <w:rFonts w:ascii="Times New Roman" w:hAnsi="Times New Roman" w:cs="Times New Roman"/>
          <w:sz w:val="26"/>
          <w:szCs w:val="26"/>
        </w:rPr>
        <w:t xml:space="preserve">электропередачи) (далее — ВЛ) для размещения сетей электросвязи (их отдельных элементов) предназначены для использования АО «Электросеть-Волга», как владельца </w:t>
      </w: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11FAFE" wp14:editId="50D6B72B">
            <wp:extent cx="3232" cy="3232"/>
            <wp:effectExtent l="0" t="0" r="0" b="0"/>
            <wp:docPr id="2401" name="Picture 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" name="Picture 24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77D">
        <w:rPr>
          <w:rFonts w:ascii="Times New Roman" w:hAnsi="Times New Roman" w:cs="Times New Roman"/>
          <w:sz w:val="26"/>
          <w:szCs w:val="26"/>
        </w:rPr>
        <w:t xml:space="preserve">инфраструктуры, при установлении цен (тарифов) на предоставление доступа к сопряженным </w:t>
      </w: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3DBEBE" wp14:editId="53CB5BDC">
            <wp:extent cx="3232" cy="3232"/>
            <wp:effectExtent l="0" t="0" r="0" b="0"/>
            <wp:docPr id="2400" name="Picture 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" name="Picture 2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77D">
        <w:rPr>
          <w:rFonts w:ascii="Times New Roman" w:hAnsi="Times New Roman" w:cs="Times New Roman"/>
          <w:sz w:val="26"/>
          <w:szCs w:val="26"/>
        </w:rPr>
        <w:t xml:space="preserve">объектам инфраструктуры для размещения сетей электросвязи (их отдельных элементов), </w:t>
      </w: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8FE2C9" wp14:editId="19FC0706">
            <wp:extent cx="3232" cy="3232"/>
            <wp:effectExtent l="0" t="0" r="0" b="0"/>
            <wp:docPr id="2402" name="Picture 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77D">
        <w:rPr>
          <w:rFonts w:ascii="Times New Roman" w:hAnsi="Times New Roman" w:cs="Times New Roman"/>
          <w:sz w:val="26"/>
          <w:szCs w:val="26"/>
        </w:rPr>
        <w:t xml:space="preserve">указанным в пункте 2 Правил недискриминационного доступа к инфраструктуре для размещения сетей электросвязи, утвержденных постановлением Правительства Российской Федерации от 22.11.2022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F677D">
        <w:rPr>
          <w:rFonts w:ascii="Times New Roman" w:hAnsi="Times New Roman" w:cs="Times New Roman"/>
          <w:sz w:val="26"/>
          <w:szCs w:val="26"/>
        </w:rPr>
        <w:t xml:space="preserve"> 2106 (далее - Правила).</w:t>
      </w:r>
    </w:p>
    <w:p w14:paraId="53BC427F" w14:textId="77777777" w:rsidR="001F677D" w:rsidRPr="001F677D" w:rsidRDefault="001F677D" w:rsidP="001F677D">
      <w:pPr>
        <w:ind w:left="10" w:right="36" w:firstLine="672"/>
        <w:jc w:val="both"/>
        <w:rPr>
          <w:rFonts w:ascii="Times New Roman" w:hAnsi="Times New Roman" w:cs="Times New Roman"/>
          <w:sz w:val="26"/>
          <w:szCs w:val="26"/>
        </w:rPr>
      </w:pP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A62806" wp14:editId="255A6CE3">
            <wp:extent cx="6463" cy="3232"/>
            <wp:effectExtent l="0" t="0" r="0" b="0"/>
            <wp:docPr id="2403" name="Picture 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" name="Picture 24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77D">
        <w:rPr>
          <w:rFonts w:ascii="Times New Roman" w:hAnsi="Times New Roman" w:cs="Times New Roman"/>
          <w:sz w:val="26"/>
          <w:szCs w:val="26"/>
        </w:rPr>
        <w:t>2. Установление цен (тарифов) на предоставление доступа сторонним лицам к инфраструктуре для размещения сетей электросвязи (их отдельных элементов) осуществляется в соответствии с Правилами, при этом:</w:t>
      </w:r>
    </w:p>
    <w:p w14:paraId="784FDA19" w14:textId="3F962FE0" w:rsidR="001F677D" w:rsidRPr="001F677D" w:rsidRDefault="001F677D" w:rsidP="001F677D">
      <w:pPr>
        <w:numPr>
          <w:ilvl w:val="0"/>
          <w:numId w:val="1"/>
        </w:numPr>
        <w:spacing w:after="5" w:line="268" w:lineRule="auto"/>
        <w:ind w:right="36" w:firstLine="712"/>
        <w:jc w:val="both"/>
        <w:rPr>
          <w:rFonts w:ascii="Times New Roman" w:hAnsi="Times New Roman" w:cs="Times New Roman"/>
          <w:sz w:val="26"/>
          <w:szCs w:val="26"/>
        </w:rPr>
      </w:pPr>
      <w:r w:rsidRPr="001F677D">
        <w:rPr>
          <w:rFonts w:ascii="Times New Roman" w:hAnsi="Times New Roman" w:cs="Times New Roman"/>
          <w:sz w:val="26"/>
          <w:szCs w:val="26"/>
        </w:rPr>
        <w:t xml:space="preserve">условия доступа не должны зависеть от организационно-правовой формы </w:t>
      </w: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0FF9F0" wp14:editId="14F42BE1">
            <wp:extent cx="3232" cy="6464"/>
            <wp:effectExtent l="0" t="0" r="0" b="0"/>
            <wp:docPr id="2404" name="Picture 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77D">
        <w:rPr>
          <w:rFonts w:ascii="Times New Roman" w:hAnsi="Times New Roman" w:cs="Times New Roman"/>
          <w:sz w:val="26"/>
          <w:szCs w:val="26"/>
        </w:rPr>
        <w:t>пользователей ВЛ и их правовых отношений с владельцами инфраструктуры;</w:t>
      </w:r>
    </w:p>
    <w:p w14:paraId="2A6EFABA" w14:textId="10308CF8" w:rsidR="001F677D" w:rsidRPr="001F677D" w:rsidRDefault="001F677D" w:rsidP="001F677D">
      <w:pPr>
        <w:numPr>
          <w:ilvl w:val="0"/>
          <w:numId w:val="1"/>
        </w:numPr>
        <w:spacing w:after="5" w:line="268" w:lineRule="auto"/>
        <w:ind w:right="36" w:firstLine="712"/>
        <w:jc w:val="both"/>
        <w:rPr>
          <w:rFonts w:ascii="Times New Roman" w:hAnsi="Times New Roman" w:cs="Times New Roman"/>
          <w:sz w:val="26"/>
          <w:szCs w:val="26"/>
        </w:rPr>
      </w:pPr>
      <w:r w:rsidRPr="001F677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2263BAF9" wp14:editId="6708AFA2">
            <wp:simplePos x="0" y="0"/>
            <wp:positionH relativeFrom="page">
              <wp:posOffset>7054717</wp:posOffset>
            </wp:positionH>
            <wp:positionV relativeFrom="page">
              <wp:posOffset>9436640</wp:posOffset>
            </wp:positionV>
            <wp:extent cx="3232" cy="3232"/>
            <wp:effectExtent l="0" t="0" r="0" b="0"/>
            <wp:wrapSquare wrapText="bothSides"/>
            <wp:docPr id="2422" name="Picture 2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" name="Picture 24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77D">
        <w:rPr>
          <w:rFonts w:ascii="Times New Roman" w:hAnsi="Times New Roman" w:cs="Times New Roman"/>
          <w:sz w:val="26"/>
          <w:szCs w:val="26"/>
        </w:rPr>
        <w:t>цены (тарифы) на предоставление доступа к ВЛ должны устанавливаться на уровне, обеспечивающем возмещение экономически обоснованных расходов и получение необходимой прибыли владельцем инфраструктуры; цены (тарифы) на предоставление доступа к ВЛ в сопоставимых условиях должны устанавливаться равными для всех пользователей ВЛ.</w:t>
      </w:r>
    </w:p>
    <w:p w14:paraId="7E957EF8" w14:textId="62BBFC67" w:rsidR="001F677D" w:rsidRPr="001F677D" w:rsidRDefault="001F677D" w:rsidP="001F677D">
      <w:pPr>
        <w:ind w:left="10" w:right="36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F677D">
        <w:rPr>
          <w:rFonts w:ascii="Times New Roman" w:hAnsi="Times New Roman" w:cs="Times New Roman"/>
          <w:sz w:val="26"/>
          <w:szCs w:val="26"/>
        </w:rPr>
        <w:t>. В состав цен (тарифов) на предоставление доступа к ВЛ включаются расходы по обычным видам деятельности, признаваемые в соответствии с законодательством Российской Федерации для целей ведения бухгалтерского учета, включающие прямые и косвенные расходы с использованием фактических данных отчетного периода, предшествующего расчетному, а также необходимую прибыль.</w:t>
      </w:r>
    </w:p>
    <w:p w14:paraId="1C2C7371" w14:textId="4E1A4A95" w:rsidR="00AA570C" w:rsidRPr="00AA570C" w:rsidRDefault="00AA570C" w:rsidP="00AA570C">
      <w:pPr>
        <w:ind w:left="10" w:right="36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A570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A570C">
        <w:rPr>
          <w:rFonts w:ascii="Times New Roman" w:hAnsi="Times New Roman" w:cs="Times New Roman"/>
          <w:sz w:val="26"/>
          <w:szCs w:val="26"/>
        </w:rPr>
        <w:t xml:space="preserve"> В соответствии с пунктом 39 Правил при установлении цен (тарифов) на предоставление доступа к ВЛ для размещения сетей электросвязи (их отдельных элементов) </w:t>
      </w:r>
      <w:r w:rsidRPr="00AA570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873D28" wp14:editId="7441D78F">
            <wp:extent cx="6463" cy="3232"/>
            <wp:effectExtent l="0" t="0" r="0" b="0"/>
            <wp:docPr id="2410" name="Picture 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" name="Picture 24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70C">
        <w:rPr>
          <w:rFonts w:ascii="Times New Roman" w:hAnsi="Times New Roman" w:cs="Times New Roman"/>
          <w:sz w:val="26"/>
          <w:szCs w:val="26"/>
        </w:rPr>
        <w:t>учитываются следующие расходы:</w:t>
      </w:r>
    </w:p>
    <w:p w14:paraId="70557570" w14:textId="067B1647" w:rsidR="00AA570C" w:rsidRPr="00AA570C" w:rsidRDefault="00AA570C" w:rsidP="00AA570C">
      <w:pPr>
        <w:numPr>
          <w:ilvl w:val="0"/>
          <w:numId w:val="1"/>
        </w:numPr>
        <w:spacing w:after="5" w:line="268" w:lineRule="auto"/>
        <w:ind w:right="36" w:firstLine="712"/>
        <w:jc w:val="both"/>
        <w:rPr>
          <w:rFonts w:ascii="Times New Roman" w:hAnsi="Times New Roman" w:cs="Times New Roman"/>
          <w:sz w:val="26"/>
          <w:szCs w:val="26"/>
        </w:rPr>
      </w:pPr>
      <w:r w:rsidRPr="00AA570C">
        <w:rPr>
          <w:rFonts w:ascii="Times New Roman" w:hAnsi="Times New Roman" w:cs="Times New Roman"/>
          <w:sz w:val="26"/>
          <w:szCs w:val="26"/>
        </w:rPr>
        <w:t>на проведение работ, связанных с техническим обслуживанием, ремонтом объектов инфраструктуры.</w:t>
      </w:r>
    </w:p>
    <w:p w14:paraId="74FAD073" w14:textId="73646857" w:rsidR="001F677D" w:rsidRDefault="00C26522" w:rsidP="00C26522">
      <w:pPr>
        <w:ind w:left="10" w:right="36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26522">
        <w:rPr>
          <w:rFonts w:ascii="Times New Roman" w:hAnsi="Times New Roman" w:cs="Times New Roman"/>
          <w:sz w:val="26"/>
          <w:szCs w:val="26"/>
        </w:rPr>
        <w:t>5. Общий размер платы (периодических платежей) за предоставление доступа сторонним лицам к ВЛ для размещения сетей электросвязи (их отдельных элементов) рассчитывается по ценам (тарифам), устанавливаемым владельцами инфраструктуры не чаще одного раза в год за использование в течение одного месяца места крепления на опоре ВЛ соответствующего уровня напряжения для размещения каждого (одного) элемента размещаемых сетей электросвязи.</w:t>
      </w:r>
    </w:p>
    <w:p w14:paraId="63E703AD" w14:textId="686A17FA" w:rsidR="005272D6" w:rsidRPr="005272D6" w:rsidRDefault="005272D6" w:rsidP="005272D6">
      <w:pPr>
        <w:ind w:left="10" w:right="36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26522">
        <w:rPr>
          <w:rFonts w:ascii="Times New Roman" w:hAnsi="Times New Roman" w:cs="Times New Roman"/>
          <w:sz w:val="26"/>
          <w:szCs w:val="26"/>
        </w:rPr>
        <w:t xml:space="preserve">. </w:t>
      </w:r>
      <w:r w:rsidRPr="005272D6">
        <w:rPr>
          <w:rFonts w:ascii="Times New Roman" w:hAnsi="Times New Roman" w:cs="Times New Roman"/>
          <w:sz w:val="26"/>
          <w:szCs w:val="26"/>
        </w:rPr>
        <w:t xml:space="preserve">Цена (тариф) на предоставление доступа к инфраструктуре для размещения сетей электросвязи (их отдельных элементов) на очередной расчетный период устанавливается на </w:t>
      </w:r>
      <w:r w:rsidR="00DB224E">
        <w:rPr>
          <w:rFonts w:ascii="Times New Roman" w:hAnsi="Times New Roman" w:cs="Times New Roman"/>
          <w:sz w:val="26"/>
          <w:szCs w:val="26"/>
        </w:rPr>
        <w:t>основании</w:t>
      </w:r>
      <w:r w:rsidRPr="005272D6">
        <w:rPr>
          <w:rFonts w:ascii="Times New Roman" w:hAnsi="Times New Roman" w:cs="Times New Roman"/>
          <w:sz w:val="26"/>
          <w:szCs w:val="26"/>
        </w:rPr>
        <w:t xml:space="preserve"> данных о </w:t>
      </w:r>
      <w:bookmarkStart w:id="0" w:name="_GoBack"/>
      <w:bookmarkEnd w:id="0"/>
      <w:r w:rsidRPr="005272D6">
        <w:rPr>
          <w:rFonts w:ascii="Times New Roman" w:hAnsi="Times New Roman" w:cs="Times New Roman"/>
          <w:sz w:val="26"/>
          <w:szCs w:val="26"/>
        </w:rPr>
        <w:t xml:space="preserve">расходах в периоде, предшествующем расчетному (отчетный период), в сопоставимых ценах на дату </w:t>
      </w:r>
      <w:r w:rsidRPr="005272D6">
        <w:rPr>
          <w:rFonts w:ascii="Times New Roman" w:hAnsi="Times New Roman" w:cs="Times New Roman"/>
          <w:sz w:val="26"/>
          <w:szCs w:val="26"/>
        </w:rPr>
        <w:lastRenderedPageBreak/>
        <w:t>установления тарифа, с учетом необходимой прибыли. За отчетный период принимается 1 (один) календарный год, за который формируются фактические данные,</w:t>
      </w:r>
      <w:r w:rsidRPr="005272D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387836" wp14:editId="1268978C">
            <wp:extent cx="6463" cy="38781"/>
            <wp:effectExtent l="0" t="0" r="0" b="0"/>
            <wp:docPr id="15700" name="Picture 15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" name="Picture 157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72D6">
        <w:rPr>
          <w:rFonts w:ascii="Times New Roman" w:hAnsi="Times New Roman" w:cs="Times New Roman"/>
          <w:sz w:val="26"/>
          <w:szCs w:val="26"/>
        </w:rPr>
        <w:t>используемые для расчёта.</w:t>
      </w:r>
    </w:p>
    <w:p w14:paraId="12243249" w14:textId="584259F2" w:rsidR="004279FA" w:rsidRPr="004279FA" w:rsidRDefault="004279FA" w:rsidP="004279FA">
      <w:pPr>
        <w:ind w:left="10" w:right="36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279FA">
        <w:rPr>
          <w:rFonts w:ascii="Times New Roman" w:hAnsi="Times New Roman" w:cs="Times New Roman"/>
          <w:sz w:val="26"/>
          <w:szCs w:val="26"/>
        </w:rPr>
        <w:t xml:space="preserve">. Единовременная плата за предоставление информации, предусмотренной пунктом 13 Правил, может взиматься владельцами инфраструктуры только в случае выполнения работ по </w:t>
      </w:r>
      <w:r w:rsidRPr="004279F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1A9CD7A" wp14:editId="3A3C7938">
            <wp:extent cx="3232" cy="3232"/>
            <wp:effectExtent l="0" t="0" r="0" b="0"/>
            <wp:docPr id="6026" name="Picture 6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" name="Picture 60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9F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032027" wp14:editId="3BF54498">
            <wp:extent cx="3232" cy="6464"/>
            <wp:effectExtent l="0" t="0" r="0" b="0"/>
            <wp:docPr id="6028" name="Picture 6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" name="Picture 60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9FA">
        <w:rPr>
          <w:rFonts w:ascii="Times New Roman" w:hAnsi="Times New Roman" w:cs="Times New Roman"/>
          <w:sz w:val="26"/>
          <w:szCs w:val="26"/>
        </w:rPr>
        <w:t xml:space="preserve">осмотру, измерению, обследованию объекта инфраструктуры, необходимых для </w:t>
      </w:r>
      <w:r w:rsidRPr="004279F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555F8C" wp14:editId="253F6004">
            <wp:extent cx="3232" cy="3232"/>
            <wp:effectExtent l="0" t="0" r="0" b="0"/>
            <wp:docPr id="6027" name="Picture 6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" name="Picture 60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9FA">
        <w:rPr>
          <w:rFonts w:ascii="Times New Roman" w:hAnsi="Times New Roman" w:cs="Times New Roman"/>
          <w:sz w:val="26"/>
          <w:szCs w:val="26"/>
        </w:rPr>
        <w:t xml:space="preserve">предоставления информации. При этом, плата за предоставление сопоставимой по объему и характеру информации устанавливается одинаковой для всех пользователей инфраструктуры на уровне экономически обоснованных затрат при условии фактического проведения работ, связанных с обследованием на предмет наличия (отсутствия) технической возможности предоставления доступа к ВЛ и на соответствие объектов инфраструктуры дополнительным </w:t>
      </w:r>
      <w:r w:rsidRPr="004279F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535159" wp14:editId="16647949">
            <wp:extent cx="3232" cy="3232"/>
            <wp:effectExtent l="0" t="0" r="0" b="0"/>
            <wp:docPr id="6030" name="Picture 6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" name="Picture 60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9FA">
        <w:rPr>
          <w:rFonts w:ascii="Times New Roman" w:hAnsi="Times New Roman" w:cs="Times New Roman"/>
          <w:sz w:val="26"/>
          <w:szCs w:val="26"/>
        </w:rPr>
        <w:t xml:space="preserve">нагрузкам, возникающим вследствие размещения сетей связи (их отдельных элементов), в </w:t>
      </w:r>
      <w:r w:rsidRPr="004279F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8D909B" wp14:editId="7CF14ECA">
            <wp:extent cx="3232" cy="6463"/>
            <wp:effectExtent l="0" t="0" r="0" b="0"/>
            <wp:docPr id="6029" name="Picture 6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" name="Picture 60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9FA">
        <w:rPr>
          <w:rFonts w:ascii="Times New Roman" w:hAnsi="Times New Roman" w:cs="Times New Roman"/>
          <w:sz w:val="26"/>
          <w:szCs w:val="26"/>
        </w:rPr>
        <w:t>случае возникновения таких нагрузок.</w:t>
      </w:r>
    </w:p>
    <w:p w14:paraId="57BB7BD4" w14:textId="3B56527C" w:rsidR="00A85108" w:rsidRPr="00A85108" w:rsidRDefault="00A85108" w:rsidP="00A85108">
      <w:pPr>
        <w:ind w:left="10" w:right="36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851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8A6109" wp14:editId="2DB97B20">
            <wp:extent cx="3232" cy="3232"/>
            <wp:effectExtent l="0" t="0" r="0" b="0"/>
            <wp:docPr id="6031" name="Picture 6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" name="Picture 60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>8</w:t>
      </w:r>
      <w:r w:rsidRPr="00A85108">
        <w:rPr>
          <w:rFonts w:ascii="Times New Roman" w:hAnsi="Times New Roman" w:cs="Times New Roman"/>
          <w:sz w:val="26"/>
          <w:szCs w:val="26"/>
        </w:rPr>
        <w:t xml:space="preserve">. Цена (тариф) на предоставление доступа к ВЛ </w:t>
      </w:r>
      <w:r w:rsidR="005555A4" w:rsidRPr="005555A4">
        <w:rPr>
          <w:rFonts w:ascii="Times New Roman" w:hAnsi="Times New Roman" w:cs="Times New Roman"/>
          <w:sz w:val="26"/>
          <w:szCs w:val="26"/>
        </w:rPr>
        <w:t>соответствующего класса напряжения (Тдос</w:t>
      </w:r>
      <w:r w:rsidR="005555A4">
        <w:rPr>
          <w:rFonts w:ascii="Times New Roman" w:hAnsi="Times New Roman" w:cs="Times New Roman"/>
          <w:sz w:val="26"/>
          <w:szCs w:val="26"/>
          <w:lang w:val="en-US"/>
        </w:rPr>
        <w:t>j</w:t>
      </w:r>
      <w:r w:rsidR="005555A4" w:rsidRPr="005555A4">
        <w:rPr>
          <w:rFonts w:ascii="Times New Roman" w:hAnsi="Times New Roman" w:cs="Times New Roman"/>
          <w:sz w:val="26"/>
          <w:szCs w:val="26"/>
        </w:rPr>
        <w:t xml:space="preserve">) (без НДС) </w:t>
      </w:r>
      <w:r w:rsidRPr="00A85108">
        <w:rPr>
          <w:rFonts w:ascii="Times New Roman" w:hAnsi="Times New Roman" w:cs="Times New Roman"/>
          <w:sz w:val="26"/>
          <w:szCs w:val="26"/>
        </w:rPr>
        <w:t>рассч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5108">
        <w:rPr>
          <w:rFonts w:ascii="Times New Roman" w:hAnsi="Times New Roman" w:cs="Times New Roman"/>
          <w:sz w:val="26"/>
          <w:szCs w:val="26"/>
        </w:rPr>
        <w:t>тывается по формуле:</w:t>
      </w:r>
      <w:r w:rsidRPr="00A851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B540D5" wp14:editId="27850CCA">
            <wp:extent cx="9695" cy="29085"/>
            <wp:effectExtent l="0" t="0" r="0" b="0"/>
            <wp:docPr id="15706" name="Picture 15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" name="Picture 157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FD03" w14:textId="52775FC8" w:rsidR="005555A4" w:rsidRPr="005555A4" w:rsidRDefault="005555A4" w:rsidP="00C26522">
      <w:pPr>
        <w:ind w:left="10" w:right="36" w:firstLine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5A4">
        <w:rPr>
          <w:rFonts w:ascii="Times New Roman" w:hAnsi="Times New Roman" w:cs="Times New Roman"/>
          <w:b/>
          <w:bCs/>
          <w:sz w:val="28"/>
          <w:szCs w:val="28"/>
        </w:rPr>
        <w:t>Тдостj = (Р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555A4">
        <w:rPr>
          <w:rFonts w:ascii="Times New Roman" w:hAnsi="Times New Roman" w:cs="Times New Roman"/>
          <w:b/>
          <w:bCs/>
          <w:sz w:val="28"/>
          <w:szCs w:val="28"/>
        </w:rPr>
        <w:t>рj+</w:t>
      </w:r>
      <w:r>
        <w:rPr>
          <w:rFonts w:ascii="Times New Roman" w:hAnsi="Times New Roman" w:cs="Times New Roman"/>
          <w:b/>
          <w:bCs/>
          <w:sz w:val="28"/>
          <w:szCs w:val="28"/>
        </w:rPr>
        <w:t>НП</w:t>
      </w:r>
      <w:r w:rsidRPr="005555A4">
        <w:rPr>
          <w:rFonts w:ascii="Times New Roman" w:hAnsi="Times New Roman" w:cs="Times New Roman"/>
          <w:b/>
          <w:bCs/>
          <w:sz w:val="28"/>
          <w:szCs w:val="28"/>
        </w:rPr>
        <w:t>j)/0nj, (1) где</w:t>
      </w:r>
    </w:p>
    <w:p w14:paraId="77523DBA" w14:textId="77777777" w:rsidR="005555A4" w:rsidRDefault="005555A4" w:rsidP="005555A4">
      <w:pPr>
        <w:spacing w:after="0" w:line="240" w:lineRule="auto"/>
        <w:ind w:left="11" w:right="3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5A4">
        <w:rPr>
          <w:rFonts w:ascii="Times New Roman" w:hAnsi="Times New Roman" w:cs="Times New Roman"/>
          <w:sz w:val="26"/>
          <w:szCs w:val="26"/>
        </w:rPr>
        <w:t>j - соответствующий класс напряжения ВЛ;</w:t>
      </w:r>
    </w:p>
    <w:p w14:paraId="2DE20848" w14:textId="77777777" w:rsidR="005555A4" w:rsidRDefault="005555A4" w:rsidP="005555A4">
      <w:pPr>
        <w:spacing w:after="0" w:line="240" w:lineRule="auto"/>
        <w:ind w:left="11" w:right="3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5A4">
        <w:rPr>
          <w:rFonts w:ascii="Times New Roman" w:hAnsi="Times New Roman" w:cs="Times New Roman"/>
          <w:sz w:val="26"/>
          <w:szCs w:val="26"/>
        </w:rPr>
        <w:t>Pnpj — прямые расходы, относимые на предоставление доступа к объектам инфраструктуры для размещения сетей электросвязи соответствующего класса напряжения, руб. (без НДС);</w:t>
      </w:r>
    </w:p>
    <w:p w14:paraId="7518491C" w14:textId="0514EA79" w:rsidR="005555A4" w:rsidRDefault="005555A4" w:rsidP="00D52FCE">
      <w:pPr>
        <w:spacing w:after="0" w:line="240" w:lineRule="auto"/>
        <w:ind w:left="11" w:right="3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5A4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555A4">
        <w:rPr>
          <w:rFonts w:ascii="Times New Roman" w:hAnsi="Times New Roman" w:cs="Times New Roman"/>
          <w:sz w:val="26"/>
          <w:szCs w:val="26"/>
        </w:rPr>
        <w:t>j — необходимая прибыль,</w:t>
      </w:r>
      <w:r w:rsidR="00D52FCE" w:rsidRPr="00D52FCE">
        <w:rPr>
          <w:rFonts w:ascii="Times New Roman" w:hAnsi="Times New Roman" w:cs="Times New Roman"/>
          <w:sz w:val="26"/>
          <w:szCs w:val="26"/>
        </w:rPr>
        <w:t xml:space="preserve"> определяе</w:t>
      </w:r>
      <w:r w:rsidR="00D52FCE">
        <w:rPr>
          <w:rFonts w:ascii="Times New Roman" w:hAnsi="Times New Roman" w:cs="Times New Roman"/>
          <w:sz w:val="26"/>
          <w:szCs w:val="26"/>
        </w:rPr>
        <w:t>мая</w:t>
      </w:r>
      <w:r w:rsidR="00D52FCE" w:rsidRPr="00D52FCE">
        <w:rPr>
          <w:rFonts w:ascii="Times New Roman" w:hAnsi="Times New Roman" w:cs="Times New Roman"/>
          <w:sz w:val="26"/>
          <w:szCs w:val="26"/>
        </w:rPr>
        <w:t xml:space="preserve"> исходя из достаточности для обеспечения расширенного воспроизводства основных фондов</w:t>
      </w:r>
      <w:r w:rsidRPr="005555A4">
        <w:rPr>
          <w:rFonts w:ascii="Times New Roman" w:hAnsi="Times New Roman" w:cs="Times New Roman"/>
          <w:sz w:val="26"/>
          <w:szCs w:val="26"/>
        </w:rPr>
        <w:t xml:space="preserve"> руб.;</w:t>
      </w:r>
    </w:p>
    <w:p w14:paraId="6E03C48B" w14:textId="685CCABD" w:rsidR="005272D6" w:rsidRDefault="005555A4" w:rsidP="005555A4">
      <w:pPr>
        <w:spacing w:after="0" w:line="240" w:lineRule="auto"/>
        <w:ind w:left="11" w:right="3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5A4">
        <w:rPr>
          <w:rFonts w:ascii="Times New Roman" w:hAnsi="Times New Roman" w:cs="Times New Roman"/>
          <w:sz w:val="26"/>
          <w:szCs w:val="26"/>
        </w:rPr>
        <w:t>Onj — общее количество опор ВJI соответствующего класса напряжения на всей протяженности BJI соответствующего класса напряжения</w:t>
      </w:r>
    </w:p>
    <w:p w14:paraId="1B9AD80A" w14:textId="48D93128" w:rsidR="005555A4" w:rsidRDefault="005555A4" w:rsidP="005555A4">
      <w:pPr>
        <w:spacing w:after="0" w:line="240" w:lineRule="auto"/>
        <w:ind w:left="11" w:right="3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304855" w14:textId="77777777" w:rsidR="003248C4" w:rsidRPr="003248C4" w:rsidRDefault="003248C4" w:rsidP="003248C4">
      <w:pPr>
        <w:ind w:left="748" w:right="36"/>
        <w:rPr>
          <w:sz w:val="26"/>
          <w:szCs w:val="26"/>
        </w:rPr>
      </w:pPr>
      <w:r w:rsidRPr="003248C4">
        <w:rPr>
          <w:rFonts w:ascii="Times New Roman" w:eastAsia="Times New Roman" w:hAnsi="Times New Roman" w:cs="Times New Roman"/>
          <w:sz w:val="26"/>
          <w:szCs w:val="26"/>
        </w:rPr>
        <w:t>9.1. Прямые затраты рассчитываются по формуле:</w:t>
      </w:r>
    </w:p>
    <w:p w14:paraId="7D520D5C" w14:textId="69B49415" w:rsidR="003248C4" w:rsidRPr="003248C4" w:rsidRDefault="003248C4" w:rsidP="003248C4">
      <w:pPr>
        <w:spacing w:after="26" w:line="235" w:lineRule="auto"/>
        <w:ind w:right="377" w:firstLine="708"/>
        <w:rPr>
          <w:b/>
          <w:bCs/>
          <w:sz w:val="28"/>
          <w:szCs w:val="28"/>
        </w:rPr>
      </w:pPr>
      <w:r w:rsidRPr="003248C4">
        <w:rPr>
          <w:rFonts w:ascii="Times New Roman" w:hAnsi="Times New Roman" w:cs="Times New Roman"/>
          <w:b/>
          <w:bCs/>
          <w:sz w:val="28"/>
          <w:szCs w:val="28"/>
        </w:rPr>
        <w:t>Pnpj</w:t>
      </w:r>
      <w:r w:rsidRPr="003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(ПрФОТ + ПрОтчФОТ + ПрМатЗ),</w:t>
      </w:r>
      <w:r w:rsidRPr="003248C4">
        <w:rPr>
          <w:b/>
          <w:bCs/>
          <w:noProof/>
          <w:sz w:val="28"/>
          <w:szCs w:val="28"/>
        </w:rPr>
        <w:drawing>
          <wp:inline distT="0" distB="0" distL="0" distR="0" wp14:anchorId="7621904C" wp14:editId="00A99F5C">
            <wp:extent cx="3232" cy="3232"/>
            <wp:effectExtent l="0" t="0" r="0" b="0"/>
            <wp:docPr id="6041" name="Picture 6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" name="Picture 60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8C4">
        <w:rPr>
          <w:b/>
          <w:bCs/>
          <w:sz w:val="28"/>
          <w:szCs w:val="28"/>
        </w:rPr>
        <w:t xml:space="preserve"> </w:t>
      </w:r>
      <w:r w:rsidRPr="003248C4">
        <w:rPr>
          <w:noProof/>
          <w:sz w:val="26"/>
          <w:szCs w:val="26"/>
        </w:rPr>
        <w:drawing>
          <wp:inline distT="0" distB="0" distL="0" distR="0" wp14:anchorId="065347B2" wp14:editId="43F21EC7">
            <wp:extent cx="3232" cy="3232"/>
            <wp:effectExtent l="0" t="0" r="0" b="0"/>
            <wp:docPr id="6042" name="Picture 6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" name="Picture 60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8C4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14:paraId="191FCCDC" w14:textId="77777777" w:rsidR="003248C4" w:rsidRPr="003248C4" w:rsidRDefault="003248C4" w:rsidP="003248C4">
      <w:pPr>
        <w:spacing w:after="42"/>
        <w:ind w:left="8550"/>
        <w:rPr>
          <w:sz w:val="26"/>
          <w:szCs w:val="26"/>
        </w:rPr>
      </w:pPr>
      <w:r w:rsidRPr="003248C4">
        <w:rPr>
          <w:noProof/>
          <w:sz w:val="26"/>
          <w:szCs w:val="26"/>
        </w:rPr>
        <w:drawing>
          <wp:inline distT="0" distB="0" distL="0" distR="0" wp14:anchorId="126D7F68" wp14:editId="0DBD8669">
            <wp:extent cx="129267" cy="54939"/>
            <wp:effectExtent l="0" t="0" r="0" b="0"/>
            <wp:docPr id="15710" name="Picture 15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" name="Picture 157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267" cy="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2C645" w14:textId="0D5E728D" w:rsidR="003248C4" w:rsidRPr="003248C4" w:rsidRDefault="003248C4" w:rsidP="003248C4">
      <w:pPr>
        <w:ind w:left="709" w:right="36" w:hanging="2"/>
        <w:rPr>
          <w:sz w:val="26"/>
          <w:szCs w:val="26"/>
        </w:rPr>
      </w:pPr>
      <w:r w:rsidRPr="003248C4">
        <w:rPr>
          <w:rFonts w:ascii="Times New Roman" w:eastAsia="Times New Roman" w:hAnsi="Times New Roman" w:cs="Times New Roman"/>
          <w:sz w:val="26"/>
          <w:szCs w:val="26"/>
        </w:rPr>
        <w:t>ПрФОТ — расходы на оплату труда;</w:t>
      </w:r>
    </w:p>
    <w:p w14:paraId="297D47AB" w14:textId="44CAB8B9" w:rsidR="003248C4" w:rsidRPr="003248C4" w:rsidRDefault="003248C4" w:rsidP="003248C4">
      <w:pPr>
        <w:ind w:left="709" w:right="36" w:hanging="2"/>
        <w:rPr>
          <w:sz w:val="26"/>
          <w:szCs w:val="26"/>
        </w:rPr>
      </w:pPr>
      <w:r w:rsidRPr="003248C4">
        <w:rPr>
          <w:rFonts w:ascii="Times New Roman" w:eastAsia="Times New Roman" w:hAnsi="Times New Roman" w:cs="Times New Roman"/>
          <w:sz w:val="26"/>
          <w:szCs w:val="26"/>
        </w:rPr>
        <w:t>ПрОтчФОТ — расходы на вьшлату страховых взносов;</w:t>
      </w:r>
    </w:p>
    <w:p w14:paraId="463335AD" w14:textId="09EC5611" w:rsidR="003248C4" w:rsidRPr="007265D4" w:rsidRDefault="003248C4" w:rsidP="003248C4">
      <w:pPr>
        <w:ind w:left="709" w:right="36" w:hanging="2"/>
        <w:rPr>
          <w:rFonts w:ascii="Times New Roman" w:eastAsia="Times New Roman" w:hAnsi="Times New Roman" w:cs="Times New Roman"/>
          <w:sz w:val="26"/>
          <w:szCs w:val="26"/>
        </w:rPr>
      </w:pPr>
      <w:r w:rsidRPr="003248C4">
        <w:rPr>
          <w:rFonts w:ascii="Times New Roman" w:eastAsia="Times New Roman" w:hAnsi="Times New Roman" w:cs="Times New Roman"/>
          <w:sz w:val="26"/>
          <w:szCs w:val="26"/>
        </w:rPr>
        <w:t>ПрМатЗ — материальные затраты</w:t>
      </w:r>
      <w:r w:rsidRPr="007265D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AE836C" w14:textId="23F49762" w:rsidR="003248C4" w:rsidRPr="007265D4" w:rsidRDefault="003248C4" w:rsidP="003248C4">
      <w:pPr>
        <w:ind w:left="709" w:right="36" w:hanging="2"/>
        <w:rPr>
          <w:rFonts w:ascii="Times New Roman" w:eastAsia="Times New Roman" w:hAnsi="Times New Roman" w:cs="Times New Roman"/>
          <w:sz w:val="26"/>
          <w:szCs w:val="26"/>
        </w:rPr>
      </w:pPr>
    </w:p>
    <w:p w14:paraId="0059477B" w14:textId="77777777" w:rsidR="003248C4" w:rsidRPr="007265D4" w:rsidRDefault="003248C4" w:rsidP="003248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48C4">
        <w:rPr>
          <w:rFonts w:ascii="Times New Roman" w:hAnsi="Times New Roman" w:cs="Times New Roman"/>
          <w:sz w:val="24"/>
          <w:szCs w:val="24"/>
          <w:u w:val="single"/>
        </w:rPr>
        <w:t>Нормативная документация</w:t>
      </w:r>
      <w:r w:rsidRPr="007265D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C17DC86" w14:textId="77777777" w:rsidR="003248C4" w:rsidRPr="003248C4" w:rsidRDefault="003248C4" w:rsidP="0032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C4">
        <w:rPr>
          <w:rFonts w:ascii="Times New Roman" w:hAnsi="Times New Roman" w:cs="Times New Roman"/>
          <w:sz w:val="24"/>
          <w:szCs w:val="24"/>
        </w:rPr>
        <w:t>Приказ ФАС России от 18.05.2023г. №289/23 «Об утверждении Методических рекомендаций по установлению цен (тарифов) на предоставление доступа к инфраструктуре для размещения сетей электросвязи».</w:t>
      </w:r>
    </w:p>
    <w:p w14:paraId="3A73EC47" w14:textId="66F4EDDE" w:rsidR="003248C4" w:rsidRDefault="003248C4" w:rsidP="0032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C4">
        <w:rPr>
          <w:rFonts w:ascii="Times New Roman" w:hAnsi="Times New Roman" w:cs="Times New Roman"/>
          <w:sz w:val="24"/>
          <w:szCs w:val="24"/>
        </w:rPr>
        <w:t xml:space="preserve"> «Нормы времени на ремонт и техническое обслуживание воздушных и кабельных линий, трансформаторных подстанций и распределительных пунктов напряжением 0,38–20 кВ. Выпуск 1» 14 мая 1993 года Минтопэнерго России.</w:t>
      </w:r>
    </w:p>
    <w:p w14:paraId="79605993" w14:textId="3FC7A048" w:rsidR="003248C4" w:rsidRPr="007265D4" w:rsidRDefault="003248C4" w:rsidP="007265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A5C">
        <w:rPr>
          <w:rFonts w:ascii="Times New Roman" w:hAnsi="Times New Roman" w:cs="Times New Roman"/>
          <w:sz w:val="24"/>
          <w:szCs w:val="24"/>
        </w:rPr>
        <w:t>Постановление Правительства РФ от 22 ноября 2022 г. № 2106 "О порядке недискриминационного доступа к инфраструктуре для размещения сетей электросвязи"</w:t>
      </w:r>
    </w:p>
    <w:sectPr w:rsidR="003248C4" w:rsidRPr="007265D4" w:rsidSect="003248C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7EAF"/>
    <w:multiLevelType w:val="hybridMultilevel"/>
    <w:tmpl w:val="A16C4782"/>
    <w:lvl w:ilvl="0" w:tplc="95BE3BA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22B52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22D3A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343C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C894E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EB1E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920C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E1306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4E0E2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5123D"/>
    <w:multiLevelType w:val="hybridMultilevel"/>
    <w:tmpl w:val="A530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30A9A"/>
    <w:multiLevelType w:val="hybridMultilevel"/>
    <w:tmpl w:val="F43E6E54"/>
    <w:lvl w:ilvl="0" w:tplc="F67C784C">
      <w:start w:val="6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62814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C3772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CB544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46F58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ABB6A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2EB72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0AD1C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4C90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DB"/>
    <w:rsid w:val="00112149"/>
    <w:rsid w:val="001F677D"/>
    <w:rsid w:val="003248C4"/>
    <w:rsid w:val="004279FA"/>
    <w:rsid w:val="00473F4D"/>
    <w:rsid w:val="005272D6"/>
    <w:rsid w:val="005555A4"/>
    <w:rsid w:val="007265D4"/>
    <w:rsid w:val="007E1883"/>
    <w:rsid w:val="00884191"/>
    <w:rsid w:val="009F65DB"/>
    <w:rsid w:val="00A85108"/>
    <w:rsid w:val="00AA570C"/>
    <w:rsid w:val="00C26522"/>
    <w:rsid w:val="00C46F7F"/>
    <w:rsid w:val="00D52FCE"/>
    <w:rsid w:val="00DB224E"/>
    <w:rsid w:val="00F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136D"/>
  <w15:chartTrackingRefBased/>
  <w15:docId w15:val="{B52014E0-B487-4F4D-ACFC-66C238E8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16</cp:revision>
  <cp:lastPrinted>2026-01-12T15:01:00Z</cp:lastPrinted>
  <dcterms:created xsi:type="dcterms:W3CDTF">2026-01-12T14:08:00Z</dcterms:created>
  <dcterms:modified xsi:type="dcterms:W3CDTF">2026-01-12T15:06:00Z</dcterms:modified>
</cp:coreProperties>
</file>